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6C" w:rsidRDefault="00F0166C" w:rsidP="00F016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The Occupational Licensing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National </w:t>
      </w: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Law </w:t>
      </w:r>
      <w:r>
        <w:rPr>
          <w:rFonts w:ascii="Arial" w:hAnsi="Arial" w:cs="Arial"/>
          <w:bCs/>
          <w:spacing w:val="-3"/>
          <w:sz w:val="22"/>
          <w:szCs w:val="22"/>
        </w:rPr>
        <w:t>(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 xml:space="preserve">) </w:t>
      </w: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Bill 2010 </w:t>
      </w:r>
      <w:r>
        <w:rPr>
          <w:rFonts w:ascii="Arial" w:hAnsi="Arial" w:cs="Arial"/>
          <w:bCs/>
          <w:spacing w:val="-3"/>
          <w:sz w:val="22"/>
          <w:szCs w:val="22"/>
        </w:rPr>
        <w:t>(the Bill) applies</w:t>
      </w: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schedule to the </w:t>
      </w:r>
      <w:r w:rsidRPr="00AC3B19">
        <w:rPr>
          <w:rFonts w:ascii="Arial" w:hAnsi="Arial" w:cs="Arial"/>
          <w:bCs/>
          <w:i/>
          <w:spacing w:val="-3"/>
          <w:sz w:val="22"/>
          <w:szCs w:val="22"/>
        </w:rPr>
        <w:t>Occupational National Licensing Law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 (Victoria) 2010</w:t>
      </w: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 which </w:t>
      </w:r>
      <w:r>
        <w:rPr>
          <w:rFonts w:ascii="Arial" w:hAnsi="Arial" w:cs="Arial"/>
          <w:bCs/>
          <w:spacing w:val="-3"/>
          <w:sz w:val="22"/>
          <w:szCs w:val="22"/>
        </w:rPr>
        <w:t>was</w:t>
      </w: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hosted and passed </w:t>
      </w: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by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F02D6A">
        <w:rPr>
          <w:rFonts w:ascii="Arial" w:hAnsi="Arial" w:cs="Arial"/>
          <w:bCs/>
          <w:spacing w:val="-3"/>
          <w:sz w:val="22"/>
          <w:szCs w:val="22"/>
        </w:rPr>
        <w:t>Victoria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Parliament</w:t>
      </w:r>
      <w:r w:rsidRPr="00F02D6A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0166C" w:rsidRPr="00F02D6A" w:rsidRDefault="00F0166C" w:rsidP="00F0166C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F0166C" w:rsidRPr="00F02D6A" w:rsidRDefault="00F0166C" w:rsidP="00F0166C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Bill provides</w:t>
      </w: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 for the following matters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F02D6A">
        <w:rPr>
          <w:rFonts w:ascii="Arial" w:hAnsi="Arial" w:cs="Arial"/>
          <w:bCs/>
          <w:spacing w:val="-3"/>
          <w:sz w:val="22"/>
          <w:szCs w:val="22"/>
        </w:rPr>
        <w:t>-</w:t>
      </w:r>
    </w:p>
    <w:p w:rsidR="00F0166C" w:rsidRPr="00F02D6A" w:rsidRDefault="00F0166C" w:rsidP="00F0166C">
      <w:pPr>
        <w:numPr>
          <w:ilvl w:val="0"/>
          <w:numId w:val="3"/>
        </w:numPr>
        <w:spacing w:after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To apply as a law of </w:t>
      </w:r>
      <w:smartTag w:uri="urn:schemas-microsoft-com:office:smarttags" w:element="place">
        <w:smartTag w:uri="urn:schemas-microsoft-com:office:smarttags" w:element="State">
          <w:r w:rsidRPr="00F02D6A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 the Occupational Licensing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National </w:t>
      </w:r>
      <w:r w:rsidRPr="00F02D6A">
        <w:rPr>
          <w:rFonts w:ascii="Arial" w:hAnsi="Arial" w:cs="Arial"/>
          <w:bCs/>
          <w:spacing w:val="-3"/>
          <w:sz w:val="22"/>
          <w:szCs w:val="22"/>
        </w:rPr>
        <w:t>Law (the Law);</w:t>
      </w:r>
    </w:p>
    <w:p w:rsidR="00F0166C" w:rsidRPr="00F02D6A" w:rsidRDefault="00F0166C" w:rsidP="00F0166C">
      <w:pPr>
        <w:numPr>
          <w:ilvl w:val="0"/>
          <w:numId w:val="3"/>
        </w:numPr>
        <w:spacing w:after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The Law provides for a national licensing system and is the result of the COAG </w:t>
      </w:r>
      <w:r w:rsidRPr="00F60CDD">
        <w:rPr>
          <w:rFonts w:ascii="Arial" w:hAnsi="Arial" w:cs="Arial"/>
          <w:bCs/>
          <w:i/>
          <w:spacing w:val="-3"/>
          <w:sz w:val="22"/>
          <w:szCs w:val="22"/>
        </w:rPr>
        <w:t>Intergovernmental Agreement for a National Licensing System for Specified Occupations</w:t>
      </w: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 (IGA)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0166C" w:rsidRPr="00F02D6A" w:rsidRDefault="00F0166C" w:rsidP="00F0166C">
      <w:pPr>
        <w:numPr>
          <w:ilvl w:val="0"/>
          <w:numId w:val="3"/>
        </w:numPr>
        <w:spacing w:after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The purpose of the national licensing system is to remove overlapping and inconsistent regulations between jurisdictions for the licensing of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specified </w:t>
      </w:r>
      <w:r w:rsidRPr="00F02D6A">
        <w:rPr>
          <w:rFonts w:ascii="Arial" w:hAnsi="Arial" w:cs="Arial"/>
          <w:bCs/>
          <w:spacing w:val="-3"/>
          <w:sz w:val="22"/>
          <w:szCs w:val="22"/>
        </w:rPr>
        <w:t>occupational areas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0166C" w:rsidRPr="00F02D6A" w:rsidRDefault="00F0166C" w:rsidP="00F0166C">
      <w:pPr>
        <w:numPr>
          <w:ilvl w:val="0"/>
          <w:numId w:val="3"/>
        </w:numPr>
        <w:spacing w:after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02D6A">
        <w:rPr>
          <w:rFonts w:ascii="Arial" w:hAnsi="Arial" w:cs="Arial"/>
          <w:bCs/>
          <w:spacing w:val="-3"/>
          <w:sz w:val="22"/>
          <w:szCs w:val="22"/>
        </w:rPr>
        <w:t>By so doing, it aims to improve business efficiency and the competitiveness of the national economy, reduce red tape, improve labour mobility and enhance productivity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F0166C" w:rsidRPr="00F02D6A" w:rsidRDefault="00F0166C" w:rsidP="00F0166C">
      <w:pPr>
        <w:numPr>
          <w:ilvl w:val="0"/>
          <w:numId w:val="3"/>
        </w:numPr>
        <w:spacing w:after="120"/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02D6A">
        <w:rPr>
          <w:rFonts w:ascii="Arial" w:hAnsi="Arial" w:cs="Arial"/>
          <w:bCs/>
          <w:spacing w:val="-3"/>
          <w:sz w:val="22"/>
          <w:szCs w:val="22"/>
        </w:rPr>
        <w:t>This will enhance consumer confidence and protection without imposing unnecessary costs on consumers and business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F0166C" w:rsidRDefault="00F0166C" w:rsidP="00F0166C">
      <w:pPr>
        <w:numPr>
          <w:ilvl w:val="0"/>
          <w:numId w:val="3"/>
        </w:numPr>
        <w:ind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The IGA provides that the national licensing system will initially apply to the </w:t>
      </w:r>
      <w:r>
        <w:rPr>
          <w:rFonts w:ascii="Arial" w:hAnsi="Arial" w:cs="Arial"/>
          <w:bCs/>
          <w:spacing w:val="-3"/>
          <w:sz w:val="22"/>
          <w:szCs w:val="22"/>
        </w:rPr>
        <w:t>following occupational areas -</w:t>
      </w:r>
    </w:p>
    <w:p w:rsidR="00F0166C" w:rsidRPr="00F02D6A" w:rsidRDefault="00F0166C" w:rsidP="00F0166C">
      <w:pPr>
        <w:numPr>
          <w:ilvl w:val="0"/>
          <w:numId w:val="4"/>
        </w:numPr>
        <w:ind w:left="107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air conditioning and refrigeration </w:t>
      </w:r>
    </w:p>
    <w:p w:rsidR="00F0166C" w:rsidRPr="00F02D6A" w:rsidRDefault="00F0166C" w:rsidP="00F0166C">
      <w:pPr>
        <w:numPr>
          <w:ilvl w:val="0"/>
          <w:numId w:val="4"/>
        </w:numPr>
        <w:ind w:left="107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electrical, </w:t>
      </w:r>
    </w:p>
    <w:p w:rsidR="00F0166C" w:rsidRPr="00F02D6A" w:rsidRDefault="00F0166C" w:rsidP="00F0166C">
      <w:pPr>
        <w:numPr>
          <w:ilvl w:val="0"/>
          <w:numId w:val="4"/>
        </w:numPr>
        <w:ind w:left="107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02D6A">
        <w:rPr>
          <w:rFonts w:ascii="Arial" w:hAnsi="Arial" w:cs="Arial"/>
          <w:bCs/>
          <w:spacing w:val="-3"/>
          <w:sz w:val="22"/>
          <w:szCs w:val="22"/>
        </w:rPr>
        <w:t>plumbing and gasfitting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F0166C" w:rsidRPr="00F02D6A" w:rsidRDefault="00F0166C" w:rsidP="00F0166C">
      <w:pPr>
        <w:numPr>
          <w:ilvl w:val="0"/>
          <w:numId w:val="4"/>
        </w:numPr>
        <w:ind w:left="107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property-related </w:t>
      </w:r>
    </w:p>
    <w:p w:rsidR="00F0166C" w:rsidRPr="00F02D6A" w:rsidRDefault="00F0166C" w:rsidP="00F0166C">
      <w:pPr>
        <w:numPr>
          <w:ilvl w:val="0"/>
          <w:numId w:val="4"/>
        </w:numPr>
        <w:ind w:left="107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building and building-related </w:t>
      </w:r>
    </w:p>
    <w:p w:rsidR="00F0166C" w:rsidRPr="00F02D6A" w:rsidRDefault="00F0166C" w:rsidP="00F0166C">
      <w:pPr>
        <w:numPr>
          <w:ilvl w:val="0"/>
          <w:numId w:val="4"/>
        </w:numPr>
        <w:ind w:left="107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02D6A">
        <w:rPr>
          <w:rFonts w:ascii="Arial" w:hAnsi="Arial" w:cs="Arial"/>
          <w:bCs/>
          <w:spacing w:val="-3"/>
          <w:sz w:val="22"/>
          <w:szCs w:val="22"/>
        </w:rPr>
        <w:t>land transport (passenger vehicle drivers and dangerous goods only)</w:t>
      </w:r>
    </w:p>
    <w:p w:rsidR="00F0166C" w:rsidRDefault="00F0166C" w:rsidP="00F0166C">
      <w:pPr>
        <w:numPr>
          <w:ilvl w:val="0"/>
          <w:numId w:val="4"/>
        </w:numPr>
        <w:ind w:left="107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02D6A">
        <w:rPr>
          <w:rFonts w:ascii="Arial" w:hAnsi="Arial" w:cs="Arial"/>
          <w:bCs/>
          <w:spacing w:val="-3"/>
          <w:sz w:val="22"/>
          <w:szCs w:val="22"/>
        </w:rPr>
        <w:t>maritime.</w:t>
      </w:r>
    </w:p>
    <w:p w:rsidR="00F0166C" w:rsidRPr="00F02D6A" w:rsidRDefault="00F0166C" w:rsidP="00F0166C">
      <w:pPr>
        <w:jc w:val="both"/>
        <w:rPr>
          <w:rFonts w:ascii="Arial" w:hAnsi="Arial" w:cs="Arial"/>
          <w:bCs/>
          <w:spacing w:val="-3"/>
          <w:sz w:val="22"/>
          <w:szCs w:val="22"/>
        </w:rPr>
      </w:pPr>
    </w:p>
    <w:p w:rsidR="00F0166C" w:rsidRPr="00F02D6A" w:rsidRDefault="00F0166C" w:rsidP="00F0166C">
      <w:pPr>
        <w:numPr>
          <w:ilvl w:val="0"/>
          <w:numId w:val="3"/>
        </w:numPr>
        <w:spacing w:after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The first </w:t>
      </w:r>
      <w:r>
        <w:rPr>
          <w:rFonts w:ascii="Arial" w:hAnsi="Arial" w:cs="Arial"/>
          <w:bCs/>
          <w:spacing w:val="-3"/>
          <w:sz w:val="22"/>
          <w:szCs w:val="22"/>
        </w:rPr>
        <w:t>phase</w:t>
      </w: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 of occupations that will be </w:t>
      </w:r>
      <w:r>
        <w:rPr>
          <w:rFonts w:ascii="Arial" w:hAnsi="Arial" w:cs="Arial"/>
          <w:bCs/>
          <w:spacing w:val="-3"/>
          <w:sz w:val="22"/>
          <w:szCs w:val="22"/>
        </w:rPr>
        <w:t>covered by</w:t>
      </w: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 the national licensing system are the occupations listed from (1)-(4). As some of the occupations proposed to be covered by the national licensing system are the subject of separate and related COAG activity, and </w:t>
      </w:r>
      <w:r>
        <w:rPr>
          <w:rFonts w:ascii="Arial" w:hAnsi="Arial" w:cs="Arial"/>
          <w:bCs/>
          <w:spacing w:val="-3"/>
          <w:sz w:val="22"/>
          <w:szCs w:val="22"/>
        </w:rPr>
        <w:t>consequently</w:t>
      </w: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 may be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subject </w:t>
      </w: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to other national reform initiatives, only the first </w:t>
      </w:r>
      <w:r>
        <w:rPr>
          <w:rFonts w:ascii="Arial" w:hAnsi="Arial" w:cs="Arial"/>
          <w:bCs/>
          <w:spacing w:val="-3"/>
          <w:sz w:val="22"/>
          <w:szCs w:val="22"/>
        </w:rPr>
        <w:t>phase</w:t>
      </w: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 occupations are listed in the Law.</w:t>
      </w:r>
    </w:p>
    <w:p w:rsidR="00F0166C" w:rsidRPr="00B72069" w:rsidRDefault="00F0166C" w:rsidP="00F0166C">
      <w:pPr>
        <w:numPr>
          <w:ilvl w:val="0"/>
          <w:numId w:val="3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02D6A">
        <w:rPr>
          <w:rFonts w:ascii="Arial" w:hAnsi="Arial" w:cs="Arial"/>
          <w:bCs/>
          <w:spacing w:val="-3"/>
          <w:sz w:val="22"/>
          <w:szCs w:val="22"/>
        </w:rPr>
        <w:t xml:space="preserve">The Law also provides for the establishment of a statutory authority, the National Occupational Licensing Authority, which will have its own Board. The functions and operations of the Authority and Board will be overseen by a COAG Ministerial Council, which </w:t>
      </w:r>
      <w:r>
        <w:rPr>
          <w:rFonts w:ascii="Arial" w:hAnsi="Arial" w:cs="Arial"/>
          <w:bCs/>
          <w:spacing w:val="-3"/>
          <w:sz w:val="22"/>
          <w:szCs w:val="22"/>
        </w:rPr>
        <w:t>h</w:t>
      </w:r>
      <w:r w:rsidRPr="00F02D6A">
        <w:rPr>
          <w:rFonts w:ascii="Arial" w:hAnsi="Arial" w:cs="Arial"/>
          <w:bCs/>
          <w:spacing w:val="-3"/>
          <w:sz w:val="22"/>
          <w:szCs w:val="22"/>
        </w:rPr>
        <w:t>as a Ministerial representative from the Commonwealth and each State and Territory.</w:t>
      </w:r>
    </w:p>
    <w:p w:rsidR="00F0166C" w:rsidRPr="00F02D6A" w:rsidRDefault="00F0166C" w:rsidP="00F0166C">
      <w:pPr>
        <w:jc w:val="both"/>
        <w:rPr>
          <w:rFonts w:ascii="Arial" w:hAnsi="Arial" w:cs="Arial"/>
          <w:sz w:val="22"/>
          <w:szCs w:val="22"/>
        </w:rPr>
      </w:pPr>
    </w:p>
    <w:p w:rsidR="00F0166C" w:rsidRDefault="00F0166C" w:rsidP="00F016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Pr="00F02D6A">
        <w:rPr>
          <w:rFonts w:ascii="Arial" w:hAnsi="Arial" w:cs="Arial"/>
          <w:sz w:val="22"/>
          <w:szCs w:val="22"/>
          <w:u w:val="single"/>
        </w:rPr>
        <w:t xml:space="preserve"> approved</w:t>
      </w:r>
      <w:r w:rsidRPr="00F02D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Occupational Licensing National Law (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>) Bill 2010 to be</w:t>
      </w:r>
      <w:r w:rsidRPr="00F02D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introduced into the Legislative Assembly</w:t>
      </w:r>
      <w:r w:rsidRPr="00F02D6A">
        <w:rPr>
          <w:rFonts w:ascii="Arial" w:hAnsi="Arial" w:cs="Arial"/>
          <w:sz w:val="22"/>
          <w:szCs w:val="22"/>
        </w:rPr>
        <w:t>.</w:t>
      </w:r>
    </w:p>
    <w:p w:rsidR="00F0166C" w:rsidRPr="00F02D6A" w:rsidRDefault="00F0166C" w:rsidP="00E4051C">
      <w:pPr>
        <w:spacing w:before="120"/>
        <w:rPr>
          <w:rFonts w:ascii="Arial" w:hAnsi="Arial" w:cs="Arial"/>
          <w:sz w:val="22"/>
          <w:szCs w:val="22"/>
        </w:rPr>
      </w:pPr>
    </w:p>
    <w:p w:rsidR="00F0166C" w:rsidRPr="00F02D6A" w:rsidRDefault="00F0166C" w:rsidP="00F0166C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F02D6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0166C" w:rsidRDefault="003D48AC" w:rsidP="00E4051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hyperlink r:id="rId8" w:history="1">
        <w:r w:rsidR="00F0166C" w:rsidRPr="00E4051C">
          <w:rPr>
            <w:rStyle w:val="Hyperlink"/>
            <w:rFonts w:ascii="Arial" w:hAnsi="Arial" w:cs="Arial"/>
            <w:bCs/>
            <w:sz w:val="22"/>
            <w:szCs w:val="22"/>
          </w:rPr>
          <w:t>Occupational Licensing National Law (Queensland) Bill 2010</w:t>
        </w:r>
      </w:hyperlink>
    </w:p>
    <w:p w:rsidR="00F0166C" w:rsidRPr="00F02D6A" w:rsidRDefault="003D48AC" w:rsidP="00E4051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714" w:hanging="357"/>
        <w:jc w:val="both"/>
        <w:textAlignment w:val="baseline"/>
        <w:rPr>
          <w:rFonts w:ascii="Arial" w:hAnsi="Arial" w:cs="Arial"/>
          <w:bCs/>
          <w:sz w:val="22"/>
          <w:szCs w:val="22"/>
        </w:rPr>
      </w:pPr>
      <w:hyperlink r:id="rId9" w:history="1">
        <w:r w:rsidR="00F0166C" w:rsidRPr="00E4051C">
          <w:rPr>
            <w:rStyle w:val="Hyperlink"/>
            <w:rFonts w:ascii="Arial" w:hAnsi="Arial" w:cs="Arial"/>
            <w:bCs/>
            <w:sz w:val="22"/>
            <w:szCs w:val="22"/>
          </w:rPr>
          <w:t>Explanatory Notes</w:t>
        </w:r>
      </w:hyperlink>
      <w:r w:rsidR="00F0166C">
        <w:rPr>
          <w:rFonts w:ascii="Arial" w:hAnsi="Arial" w:cs="Arial"/>
          <w:bCs/>
          <w:sz w:val="22"/>
          <w:szCs w:val="22"/>
        </w:rPr>
        <w:t xml:space="preserve"> </w:t>
      </w:r>
    </w:p>
    <w:sectPr w:rsidR="00F0166C" w:rsidRPr="00F02D6A" w:rsidSect="008F44FC">
      <w:headerReference w:type="default" r:id="rId10"/>
      <w:type w:val="continuous"/>
      <w:pgSz w:w="11906" w:h="16838" w:code="9"/>
      <w:pgMar w:top="1985" w:right="1418" w:bottom="1191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5BE" w:rsidRDefault="00D865BE" w:rsidP="00F0166C">
      <w:r>
        <w:separator/>
      </w:r>
    </w:p>
  </w:endnote>
  <w:endnote w:type="continuationSeparator" w:id="0">
    <w:p w:rsidR="00D865BE" w:rsidRDefault="00D865BE" w:rsidP="00F0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5BE" w:rsidRDefault="00D865BE" w:rsidP="00F0166C">
      <w:r>
        <w:separator/>
      </w:r>
    </w:p>
  </w:footnote>
  <w:footnote w:type="continuationSeparator" w:id="0">
    <w:p w:rsidR="00D865BE" w:rsidRDefault="00D865BE" w:rsidP="00F01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6C" w:rsidRPr="000400F9" w:rsidRDefault="00812429" w:rsidP="00F0166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66C">
      <w:rPr>
        <w:rFonts w:ascii="Arial" w:hAnsi="Arial" w:cs="Arial"/>
        <w:b/>
        <w:sz w:val="22"/>
        <w:szCs w:val="22"/>
        <w:u w:val="single"/>
      </w:rPr>
      <w:t>Cabinet</w:t>
    </w:r>
    <w:r w:rsidR="00F0166C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F0166C">
      <w:rPr>
        <w:rFonts w:ascii="Arial" w:hAnsi="Arial" w:cs="Arial"/>
        <w:b/>
        <w:sz w:val="22"/>
        <w:szCs w:val="22"/>
        <w:u w:val="single"/>
      </w:rPr>
      <w:t>October 2010</w:t>
    </w:r>
  </w:p>
  <w:p w:rsidR="00F0166C" w:rsidRDefault="00F0166C" w:rsidP="00F0166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Occupational Licensing National Law (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>) Bill 2010</w:t>
    </w:r>
  </w:p>
  <w:p w:rsidR="00F0166C" w:rsidRDefault="00F0166C" w:rsidP="00F0166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 and Minister for Employment and Economic Development</w:t>
    </w:r>
  </w:p>
  <w:p w:rsidR="00F0166C" w:rsidRPr="00F10DF9" w:rsidRDefault="00F0166C" w:rsidP="00F0166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  <w:p w:rsidR="00F0166C" w:rsidRDefault="00F016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87473"/>
    <w:multiLevelType w:val="hybridMultilevel"/>
    <w:tmpl w:val="4B020DF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80DB7"/>
    <w:multiLevelType w:val="hybridMultilevel"/>
    <w:tmpl w:val="CE94B2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B0393"/>
    <w:multiLevelType w:val="hybridMultilevel"/>
    <w:tmpl w:val="92487524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6C"/>
    <w:rsid w:val="00042244"/>
    <w:rsid w:val="00092933"/>
    <w:rsid w:val="001F4EDE"/>
    <w:rsid w:val="003D48AC"/>
    <w:rsid w:val="0058304B"/>
    <w:rsid w:val="00662690"/>
    <w:rsid w:val="007163EC"/>
    <w:rsid w:val="00780F79"/>
    <w:rsid w:val="007D1E87"/>
    <w:rsid w:val="00812429"/>
    <w:rsid w:val="00833C0C"/>
    <w:rsid w:val="008F44FC"/>
    <w:rsid w:val="0090351B"/>
    <w:rsid w:val="00957779"/>
    <w:rsid w:val="00A46689"/>
    <w:rsid w:val="00B436E3"/>
    <w:rsid w:val="00CD61AD"/>
    <w:rsid w:val="00D77239"/>
    <w:rsid w:val="00D865BE"/>
    <w:rsid w:val="00E4051C"/>
    <w:rsid w:val="00F0166C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66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16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166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772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05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Bil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ttachments/ExNot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8862-6624-4E16-96E1-8307B40A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1933</Characters>
  <Application>Microsoft Office Word</Application>
  <DocSecurity>0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2262</CharactersWithSpaces>
  <SharedDoc>false</SharedDoc>
  <HyperlinkBase>https://www.cabinet.qld.gov.au/documents/2010/Oct/Occupational Licensing National Law Bill 2010/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2011-01-20T06:35:00Z</cp:lastPrinted>
  <dcterms:created xsi:type="dcterms:W3CDTF">2017-10-24T22:22:00Z</dcterms:created>
  <dcterms:modified xsi:type="dcterms:W3CDTF">2018-03-06T01:05:00Z</dcterms:modified>
  <cp:category>Legislation,COAG,Occupation_Licences</cp:category>
</cp:coreProperties>
</file>